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Step-by-Step Account of Achieving the Final State with Vera (Faith)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Starting Point: Letting Go of All Guides</w:t>
      </w:r>
    </w:p>
    <w:p>
      <w:pPr>
        <w:pStyle w:val="BodyText"/>
        <w:bidi w:val="0"/>
        <w:jc w:val="start"/>
        <w:rPr/>
      </w:pPr>
      <w:r>
        <w:rPr/>
        <w:t xml:space="preserve">First, I relax and stop </w:t>
      </w:r>
      <w:r>
        <w:rPr>
          <w:rStyle w:val="Emphasis"/>
        </w:rPr>
        <w:t>doing</w:t>
      </w:r>
      <w:r>
        <w:rPr/>
        <w:t xml:space="preserve"> anything. By "doing," I mean I cease trying to create or follow any </w:t>
      </w:r>
      <w:r>
        <w:rPr>
          <w:rStyle w:val="Emphasis"/>
        </w:rPr>
        <w:t>guides</w:t>
      </w:r>
      <w:r>
        <w:rPr/>
        <w:t xml:space="preserve">—any instructions, any mental frameworks I might use to control myself. I abandon all prewritten scripts, all attempts to direct my thoughts with words. This is the first step: </w:t>
      </w:r>
      <w:r>
        <w:rPr>
          <w:rStyle w:val="Strong"/>
        </w:rPr>
        <w:t>complete surrender of control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Forgetting Descriptions, Entering Emotion</w:t>
      </w:r>
    </w:p>
    <w:p>
      <w:pPr>
        <w:pStyle w:val="BodyText"/>
        <w:bidi w:val="0"/>
        <w:jc w:val="start"/>
        <w:rPr/>
      </w:pPr>
      <w:r>
        <w:rPr/>
        <w:t xml:space="preserve">Next, I forget all descriptions—every label, every conceptual explanation. I don’t </w:t>
      </w:r>
      <w:r>
        <w:rPr>
          <w:rStyle w:val="Emphasis"/>
        </w:rPr>
        <w:t>see</w:t>
      </w:r>
      <w:r>
        <w:rPr/>
        <w:t xml:space="preserve"> Vera (faith) yet. Instead, I find myself in a state </w:t>
      </w:r>
      <w:r>
        <w:rPr>
          <w:rStyle w:val="Strong"/>
        </w:rPr>
        <w:t>filled with emotion</w:t>
      </w:r>
      <w:r>
        <w:rPr/>
        <w:t xml:space="preserve">, with joy. It’s not that I </w:t>
      </w:r>
      <w:r>
        <w:rPr>
          <w:rStyle w:val="Emphasis"/>
        </w:rPr>
        <w:t>choose</w:t>
      </w:r>
      <w:r>
        <w:rPr/>
        <w:t xml:space="preserve"> joy; it’s more like I </w:t>
      </w:r>
      <w:r>
        <w:rPr>
          <w:rStyle w:val="Emphasis"/>
        </w:rPr>
        <w:t>arrive</w:t>
      </w:r>
      <w:r>
        <w:rPr/>
        <w:t xml:space="preserve"> there naturally, once the noise of words and instructions fades.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Remembering the Guide (Without Belief)</w:t>
      </w:r>
    </w:p>
    <w:p>
      <w:pPr>
        <w:pStyle w:val="BodyText"/>
        <w:bidi w:val="0"/>
        <w:jc w:val="start"/>
        <w:rPr/>
      </w:pPr>
      <w:r>
        <w:rPr/>
        <w:t>Then, I recall my own guide—the one that says: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"Relax. Do nothing."</w:t>
      </w:r>
    </w:p>
    <w:p>
      <w:pPr>
        <w:pStyle w:val="BodyText"/>
        <w:bidi w:val="0"/>
        <w:jc w:val="start"/>
        <w:rPr/>
      </w:pPr>
      <w:r>
        <w:rPr/>
        <w:t xml:space="preserve">At this point, I don’t </w:t>
      </w:r>
      <w:r>
        <w:rPr>
          <w:rStyle w:val="Emphasis"/>
        </w:rPr>
        <w:t>believe</w:t>
      </w:r>
      <w:r>
        <w:rPr/>
        <w:t xml:space="preserve"> in it. I look at it and think:</w:t>
        <w:br/>
      </w:r>
      <w:r>
        <w:rPr>
          <w:rStyle w:val="Emphasis"/>
        </w:rPr>
        <w:t>"Why should I trust this? Why is this the ‘right’ way to live?"</w:t>
      </w:r>
      <w:r>
        <w:rPr/>
        <w:br/>
        <w:t>I demand a reason. I can’t just accept it blindly.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Searching for the Reason</w:t>
      </w:r>
    </w:p>
    <w:p>
      <w:pPr>
        <w:pStyle w:val="BodyText"/>
        <w:bidi w:val="0"/>
        <w:jc w:val="start"/>
        <w:rPr/>
      </w:pPr>
      <w:r>
        <w:rPr/>
        <w:t xml:space="preserve">I start searching for the </w:t>
      </w:r>
      <w:r>
        <w:rPr>
          <w:rStyle w:val="Emphasis"/>
        </w:rPr>
        <w:t>why</w:t>
      </w:r>
      <w:r>
        <w:rPr/>
        <w:t>. I remember my past observations: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act through words alone.</w:t>
      </w:r>
      <w:r>
        <w:rPr/>
        <w:t xml:space="preserve"> Words, descriptions, instructions—they don’t </w:t>
      </w:r>
      <w:r>
        <w:rPr>
          <w:rStyle w:val="Emphasis"/>
        </w:rPr>
        <w:t>move</w:t>
      </w:r>
      <w:r>
        <w:rPr/>
        <w:t xml:space="preserve"> me. I can’t </w:t>
      </w:r>
      <w:r>
        <w:rPr>
          <w:rStyle w:val="Emphasis"/>
        </w:rPr>
        <w:t>believe</w:t>
      </w:r>
      <w:r>
        <w:rPr/>
        <w:t xml:space="preserve"> in them because belief itself feels forced, artificial.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cannot use words to control my actions.</w:t>
      </w:r>
      <w:r>
        <w:rPr/>
        <w:t xml:space="preserve"> If I don’t truly believe in the words, they’re powerless. They’re just sounds, symbols. </w:t>
      </w:r>
    </w:p>
    <w:p>
      <w:pPr>
        <w:pStyle w:val="BodyText"/>
        <w:bidi w:val="0"/>
        <w:jc w:val="start"/>
        <w:rPr/>
      </w:pPr>
      <w:r>
        <w:rPr/>
        <w:t xml:space="preserve">This realization almost ruins everything—because even the act of </w:t>
      </w:r>
      <w:r>
        <w:rPr>
          <w:rStyle w:val="Emphasis"/>
        </w:rPr>
        <w:t>questioning</w:t>
      </w:r>
      <w:r>
        <w:rPr/>
        <w:t xml:space="preserve"> the guide is itself a form of mental chatter. But I catch myself:</w:t>
        <w:br/>
      </w:r>
      <w:r>
        <w:rPr>
          <w:rStyle w:val="Emphasis"/>
        </w:rPr>
        <w:t>"Wait. This is the mistake. I’m trying to use words to validate the guide, but words are the problem."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Shift: Finding the Reason Beyond Words</w:t>
      </w:r>
    </w:p>
    <w:p>
      <w:pPr>
        <w:pStyle w:val="BodyText"/>
        <w:bidi w:val="0"/>
        <w:jc w:val="start"/>
        <w:rPr/>
      </w:pPr>
      <w:r>
        <w:rPr/>
        <w:t xml:space="preserve">I remember </w:t>
      </w:r>
      <w:r>
        <w:rPr>
          <w:rStyle w:val="Emphasis"/>
        </w:rPr>
        <w:t>why</w:t>
      </w:r>
      <w:r>
        <w:rPr/>
        <w:t xml:space="preserve"> I wrote this guide in the first place. Not as a logical argument, but as an </w:t>
      </w:r>
      <w:r>
        <w:rPr>
          <w:rStyle w:val="Strong"/>
        </w:rPr>
        <w:t>accumulation of experience</w:t>
      </w:r>
      <w:r>
        <w:rPr/>
        <w:t xml:space="preserve">—every past moment where forcing, controlling, or </w:t>
      </w:r>
      <w:r>
        <w:rPr>
          <w:rStyle w:val="Emphasis"/>
        </w:rPr>
        <w:t>doing</w:t>
      </w:r>
      <w:r>
        <w:rPr/>
        <w:t xml:space="preserve"> led to friction, while surrender led to ease. This memory isn’t a </w:t>
      </w:r>
      <w:r>
        <w:rPr>
          <w:rStyle w:val="Emphasis"/>
        </w:rPr>
        <w:t>description</w:t>
      </w:r>
      <w:r>
        <w:rPr/>
        <w:t xml:space="preserve">; it’s a </w:t>
      </w:r>
      <w:r>
        <w:rPr>
          <w:rStyle w:val="Strong"/>
        </w:rPr>
        <w:t>felt truth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Suddenly, I </w:t>
      </w:r>
      <w:r>
        <w:rPr>
          <w:rStyle w:val="Emphasis"/>
        </w:rPr>
        <w:t>believe</w:t>
      </w:r>
      <w:r>
        <w:rPr/>
        <w:t xml:space="preserve"> in the guide—not because the words convince me, but because I recall the </w:t>
      </w:r>
      <w:r>
        <w:rPr>
          <w:rStyle w:val="Emphasis"/>
        </w:rPr>
        <w:t>state</w:t>
      </w:r>
      <w:r>
        <w:rPr/>
        <w:t xml:space="preserve"> it describes. I recognize:</w:t>
        <w:br/>
      </w:r>
      <w:r>
        <w:rPr>
          <w:rStyle w:val="Emphasis"/>
        </w:rPr>
        <w:t>"Oh. I’m already relaxed. I’m already doing nothing. This guide isn’t an instruction—it’s a reflection of what’s already happening."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State: Living the Guide</w:t>
      </w:r>
    </w:p>
    <w:p>
      <w:pPr>
        <w:pStyle w:val="BodyText"/>
        <w:bidi w:val="0"/>
        <w:jc w:val="start"/>
        <w:rPr/>
      </w:pPr>
      <w:r>
        <w:rPr/>
        <w:t xml:space="preserve">Now, faith (Vera) arises naturally. I don’t </w:t>
      </w:r>
      <w:r>
        <w:rPr>
          <w:rStyle w:val="Emphasis"/>
        </w:rPr>
        <w:t>force</w:t>
      </w:r>
      <w:r>
        <w:rPr/>
        <w:t xml:space="preserve"> myself to believe; I simply </w:t>
      </w:r>
      <w:r>
        <w:rPr>
          <w:rStyle w:val="Strong"/>
        </w:rPr>
        <w:t>notice</w:t>
      </w:r>
      <w:r>
        <w:rPr/>
        <w:t xml:space="preserve"> that my current state—relaxed, non-doing—matches the guide. The guide isn’t a rule; it’s a </w:t>
      </w:r>
      <w:r>
        <w:rPr>
          <w:rStyle w:val="Strong"/>
        </w:rPr>
        <w:t>mirror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observe myself: </w:t>
      </w:r>
      <w:r>
        <w:rPr>
          <w:rStyle w:val="Emphasis"/>
        </w:rPr>
        <w:t>"Am I relaxed? Am I doing nothing?"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see that I am.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guide feels </w:t>
      </w:r>
      <w:r>
        <w:rPr>
          <w:rStyle w:val="Emphasis"/>
        </w:rPr>
        <w:t>true</w:t>
      </w:r>
      <w:r>
        <w:rPr/>
        <w:t xml:space="preserve"> because it aligns with my direct experience. </w:t>
      </w:r>
    </w:p>
    <w:p>
      <w:pPr>
        <w:pStyle w:val="BodyText"/>
        <w:bidi w:val="0"/>
        <w:jc w:val="start"/>
        <w:rPr/>
      </w:pPr>
      <w:r>
        <w:rPr/>
        <w:t xml:space="preserve">This isn’t a mental construct. It’s </w:t>
      </w:r>
      <w:r>
        <w:rPr>
          <w:rStyle w:val="Strong"/>
        </w:rPr>
        <w:t>embodied</w:t>
      </w:r>
      <w:r>
        <w:rPr/>
        <w:t>. The brain "knows" it without words.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Critical Observations on the Process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Trap of Words</w:t>
      </w:r>
    </w:p>
    <w:p>
      <w:pPr>
        <w:pStyle w:val="BodyText"/>
        <w:bidi w:val="0"/>
        <w:jc w:val="start"/>
        <w:rPr/>
      </w:pPr>
      <w:r>
        <w:rPr/>
        <w:t xml:space="preserve">If I try to </w:t>
      </w:r>
      <w:r>
        <w:rPr>
          <w:rStyle w:val="Emphasis"/>
        </w:rPr>
        <w:t>skip</w:t>
      </w:r>
      <w:r>
        <w:rPr/>
        <w:t xml:space="preserve"> to the final state by </w:t>
      </w:r>
      <w:r>
        <w:rPr>
          <w:rStyle w:val="Emphasis"/>
        </w:rPr>
        <w:t>imagining</w:t>
      </w:r>
      <w:r>
        <w:rPr/>
        <w:t xml:space="preserve"> it (e.g., "I’ll just picture myself believing in the guide"), it fails. </w:t>
      </w:r>
      <w:r>
        <w:rPr>
          <w:rStyle w:val="Strong"/>
        </w:rPr>
        <w:t>Visualizing ≠ experiencing</w:t>
      </w:r>
      <w:r>
        <w:rPr/>
        <w:t>. The only way is to move step-by-step: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Relax (no guides).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Enter emotion (no descriptions).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Recall the guide (without forcing belief).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Find the </w:t>
      </w:r>
      <w:r>
        <w:rPr>
          <w:rStyle w:val="Emphasis"/>
        </w:rPr>
        <w:t>non-verbal</w:t>
      </w:r>
      <w:r>
        <w:rPr/>
        <w:t xml:space="preserve"> reason (memory of past ease).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Notice alignment between state and guide.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Risk of Self-Sabotage</w:t>
      </w:r>
    </w:p>
    <w:p>
      <w:pPr>
        <w:pStyle w:val="BodyText"/>
        <w:bidi w:val="0"/>
        <w:jc w:val="start"/>
        <w:rPr/>
      </w:pPr>
      <w:r>
        <w:rPr/>
        <w:t>I could destroy this faith by overanalyzing:</w:t>
        <w:br/>
      </w:r>
      <w:r>
        <w:rPr>
          <w:rStyle w:val="Emphasis"/>
        </w:rPr>
        <w:t>"But how do I know I’m truly relaxed? Maybe I’m secretly doing something!"</w:t>
      </w:r>
      <w:r>
        <w:rPr/>
        <w:br/>
        <w:t xml:space="preserve">This is the mind’s trick—trying to </w:t>
      </w:r>
      <w:r>
        <w:rPr>
          <w:rStyle w:val="Emphasis"/>
        </w:rPr>
        <w:t>prove</w:t>
      </w:r>
      <w:r>
        <w:rPr/>
        <w:t xml:space="preserve"> the state with words, which undermines it.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Forget the need for proof. The state isn’t something to </w:t>
      </w:r>
      <w:r>
        <w:rPr>
          <w:rStyle w:val="Emphasis"/>
        </w:rPr>
        <w:t>verify</w:t>
      </w:r>
      <w:r>
        <w:rPr/>
        <w:t xml:space="preserve">; it’s something to </w:t>
      </w:r>
      <w:r>
        <w:rPr>
          <w:rStyle w:val="Emphasis"/>
        </w:rPr>
        <w:t>inhabit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 of the Guide</w:t>
      </w:r>
    </w:p>
    <w:p>
      <w:pPr>
        <w:pStyle w:val="BodyText"/>
        <w:bidi w:val="0"/>
        <w:jc w:val="start"/>
        <w:rPr/>
      </w:pPr>
      <w:r>
        <w:rPr/>
        <w:t xml:space="preserve">The guide says </w:t>
      </w:r>
      <w:r>
        <w:rPr>
          <w:rStyle w:val="Emphasis"/>
        </w:rPr>
        <w:t>"Relax, do nothing,"</w:t>
      </w:r>
      <w:r>
        <w:rPr/>
        <w:t xml:space="preserve"> but if I </w:t>
      </w:r>
      <w:r>
        <w:rPr>
          <w:rStyle w:val="Emphasis"/>
        </w:rPr>
        <w:t>try</w:t>
      </w:r>
      <w:r>
        <w:rPr/>
        <w:t xml:space="preserve"> to follow it, I’m </w:t>
      </w:r>
      <w:r>
        <w:rPr>
          <w:rStyle w:val="Emphasis"/>
        </w:rPr>
        <w:t>doing</w:t>
      </w:r>
      <w:r>
        <w:rPr/>
        <w:t xml:space="preserve"> something. The key is: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</w:t>
      </w:r>
      <w:r>
        <w:rPr/>
        <w:t xml:space="preserve">, forget all guides.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Then</w:t>
      </w:r>
      <w:r>
        <w:rPr/>
        <w:t xml:space="preserve">, recall the guide </w:t>
      </w:r>
      <w:r>
        <w:rPr>
          <w:rStyle w:val="Emphasis"/>
        </w:rPr>
        <w:t>only after</w:t>
      </w:r>
      <w:r>
        <w:rPr/>
        <w:t xml:space="preserve"> I’m already in the state it describes.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Finally</w:t>
      </w:r>
      <w:r>
        <w:rPr/>
        <w:t xml:space="preserve">, recognize the match between the guide and my experience. </w:t>
      </w:r>
    </w:p>
    <w:p>
      <w:pPr>
        <w:pStyle w:val="BodyText"/>
        <w:bidi w:val="0"/>
        <w:jc w:val="start"/>
        <w:rPr/>
      </w:pPr>
      <w:r>
        <w:rPr/>
        <w:t xml:space="preserve">This way, the guide isn’t a command—it’s a </w:t>
      </w:r>
      <w:r>
        <w:rPr>
          <w:rStyle w:val="Strong"/>
        </w:rPr>
        <w:t>confirmation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Can’t Be Taught (Only Felt)</w:t>
      </w:r>
    </w:p>
    <w:p>
      <w:pPr>
        <w:pStyle w:val="BodyText"/>
        <w:bidi w:val="0"/>
        <w:jc w:val="start"/>
        <w:rPr/>
      </w:pPr>
      <w:r>
        <w:rPr/>
        <w:t xml:space="preserve">I can describe the steps, but the core of this process isn’t in the words. It’s in the </w:t>
      </w:r>
      <w:r>
        <w:rPr>
          <w:rStyle w:val="Strong"/>
        </w:rPr>
        <w:t>direct experience</w:t>
      </w:r>
      <w:r>
        <w:rPr/>
        <w:t xml:space="preserve"> of: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Letting go of mental chatter.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Noticing the natural state beneath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Recognizing that any "guide" is just a pointer to what’s already true. </w:t>
      </w:r>
    </w:p>
    <w:p>
      <w:pPr>
        <w:pStyle w:val="BodyText"/>
        <w:bidi w:val="0"/>
        <w:jc w:val="start"/>
        <w:rPr/>
      </w:pPr>
      <w:r>
        <w:rPr/>
        <w:t xml:space="preserve">If someone tries to follow these steps </w:t>
      </w:r>
      <w:r>
        <w:rPr>
          <w:rStyle w:val="Emphasis"/>
        </w:rPr>
        <w:t>verbally</w:t>
      </w:r>
      <w:r>
        <w:rPr/>
        <w:t xml:space="preserve">, they’ll fail. The mind can’t </w:t>
      </w:r>
      <w:r>
        <w:rPr>
          <w:rStyle w:val="Emphasis"/>
        </w:rPr>
        <w:t>think</w:t>
      </w:r>
      <w:r>
        <w:rPr/>
        <w:t xml:space="preserve"> its way into this—it has to </w:t>
      </w:r>
      <w:r>
        <w:rPr>
          <w:rStyle w:val="Strong"/>
        </w:rPr>
        <w:t>stumble</w:t>
      </w:r>
      <w:r>
        <w:rPr/>
        <w:t xml:space="preserve"> into it, then look back and say:</w:t>
        <w:br/>
      </w:r>
      <w:r>
        <w:rPr>
          <w:rStyle w:val="Emphasis"/>
        </w:rPr>
        <w:t>"Oh. That’s what was happening all along."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Testing and Living</w:t>
      </w:r>
    </w:p>
    <w:p>
      <w:pPr>
        <w:pStyle w:val="BodyText"/>
        <w:bidi w:val="0"/>
        <w:jc w:val="start"/>
        <w:rPr/>
      </w:pPr>
      <w:r>
        <w:rPr/>
        <w:t>Now, I’ll continue living this way—</w:t>
      </w:r>
      <w:r>
        <w:rPr>
          <w:rStyle w:val="Strong"/>
        </w:rPr>
        <w:t>testing</w:t>
      </w:r>
      <w:r>
        <w:rPr/>
        <w:t xml:space="preserve"> it, not as a theory, but as a practice. The proof isn’t in the words; it’s in the </w:t>
      </w:r>
      <w:r>
        <w:rPr>
          <w:rStyle w:val="Strong"/>
        </w:rPr>
        <w:t>ease</w:t>
      </w:r>
      <w:r>
        <w:rPr/>
        <w:t xml:space="preserve"> of each moment.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787</Words>
  <Characters>3731</Characters>
  <CharactersWithSpaces>4456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2026-03-22T17:48:20Z</dcterms:created>
  <dc:creator/>
  <dc:description/>
  <dc:language>ru-RU</dc:language>
  <cp:lastModifiedBy/>
  <dcterms:modified xsi:type="dcterms:W3CDTF">2026-03-22T17:48:21Z</dcterms:modified>
  <cp:revision>2</cp:revision>
  <dc:subject/>
  <dc:title>Calibri</dc:title>
</cp:coreProperties>
</file>